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3" w:rsidRPr="00294A63" w:rsidRDefault="00294A63" w:rsidP="00294A63">
      <w:pPr>
        <w:shd w:val="clear" w:color="auto" w:fill="FFFFFF"/>
        <w:spacing w:before="300" w:after="150" w:line="525" w:lineRule="atLeast"/>
        <w:jc w:val="center"/>
        <w:outlineLvl w:val="1"/>
        <w:rPr>
          <w:rFonts w:eastAsia="Times New Roman" w:cs="Times New Roman"/>
          <w:sz w:val="26"/>
          <w:szCs w:val="26"/>
        </w:rPr>
      </w:pPr>
      <w:r w:rsidRPr="00294A63">
        <w:rPr>
          <w:rFonts w:eastAsia="Times New Roman" w:cs="Times New Roman"/>
          <w:sz w:val="26"/>
          <w:szCs w:val="26"/>
        </w:rPr>
        <w:t>Образец учет</w:t>
      </w:r>
      <w:r w:rsidRPr="00294A63">
        <w:rPr>
          <w:rFonts w:eastAsia="Times New Roman" w:cs="Times New Roman"/>
          <w:sz w:val="26"/>
          <w:szCs w:val="26"/>
        </w:rPr>
        <w:t>ной политики организации на 2017</w:t>
      </w:r>
      <w:r w:rsidRPr="00294A63">
        <w:rPr>
          <w:rFonts w:eastAsia="Times New Roman" w:cs="Times New Roman"/>
          <w:sz w:val="26"/>
          <w:szCs w:val="26"/>
        </w:rPr>
        <w:t xml:space="preserve"> год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jc w:val="righ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Приложение 1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к</w:t>
      </w:r>
      <w:r w:rsidRPr="00294A63">
        <w:rPr>
          <w:rFonts w:eastAsia="Times New Roman" w:cs="Times New Roman"/>
          <w:spacing w:val="3"/>
          <w:sz w:val="26"/>
          <w:szCs w:val="26"/>
        </w:rPr>
        <w:t xml:space="preserve"> приказу № 58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от 30 декабря 2016</w:t>
      </w:r>
      <w:r w:rsidRPr="00294A63">
        <w:rPr>
          <w:rFonts w:eastAsia="Times New Roman" w:cs="Times New Roman"/>
          <w:spacing w:val="3"/>
          <w:sz w:val="26"/>
          <w:szCs w:val="26"/>
        </w:rPr>
        <w:t xml:space="preserve"> г.</w:t>
      </w:r>
    </w:p>
    <w:p w:rsidR="00294A63" w:rsidRPr="00294A63" w:rsidRDefault="00294A63" w:rsidP="00294A63">
      <w:pPr>
        <w:shd w:val="clear" w:color="auto" w:fill="FFFFFF"/>
        <w:spacing w:before="0" w:after="375" w:line="525" w:lineRule="atLeast"/>
        <w:jc w:val="center"/>
        <w:outlineLvl w:val="2"/>
        <w:rPr>
          <w:rFonts w:eastAsia="Times New Roman" w:cs="Times New Roman"/>
          <w:sz w:val="26"/>
          <w:szCs w:val="26"/>
        </w:rPr>
      </w:pPr>
      <w:r w:rsidRPr="00294A63">
        <w:rPr>
          <w:rFonts w:eastAsia="Times New Roman" w:cs="Times New Roman"/>
          <w:sz w:val="26"/>
          <w:szCs w:val="26"/>
        </w:rPr>
        <w:t>Учетная политика для целей налогообложения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jc w:val="center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b/>
          <w:bCs/>
          <w:spacing w:val="3"/>
          <w:sz w:val="26"/>
          <w:szCs w:val="26"/>
        </w:rPr>
        <w:t>Налог на прибыль организаций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b/>
          <w:bCs/>
          <w:spacing w:val="3"/>
          <w:sz w:val="26"/>
          <w:szCs w:val="26"/>
        </w:rPr>
        <w:t>Порядок ведения налогового учета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1. Ведение налогового учета возлагается на бухгалтерию, возглавляемую главным бухгалтером.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2. Налоговый учет вести обособленно от бухгалтерского в самостоятельно разработанных регистрах налогового учета. Перечень регистров налогового учета приведен в приложении 1. Основание: статья 313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3. Учет доходов и расходов вести методом начисления. Основание: статьи 271, 272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Учет амортизируемого имущества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4. Срок полезного использования основных средств определяется по минимальному значению интервала сроков, установленных для амортизационной группы, в которую включено основное средство в соответствии с классификацией, утверждаемой Правительством РФ.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постановление Правительства РФ от 1 января 2002 г. № 1 «О Классификации основных средств, включаемых в амортизационные группы», пункт 1 статьи 258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5. Срок полезного использования основных средств, бывших в употреблении, определяется равным сроку, установленному предыдущим собственником, уменьшенному на количество лет (месяцев) эксплуатации данных основных средств предыдущим собственником.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 7 статьи 258 Налогового кодекса РФ.</w:t>
      </w:r>
      <w:bookmarkStart w:id="0" w:name="_GoBack"/>
      <w:bookmarkEnd w:id="0"/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lastRenderedPageBreak/>
        <w:t>6. Срок полезного использования объекта нематериальных активов определяется исходя из срока действия патента, свидетельства, а также исходя из срока полезного использования, обусловленного соответствующим договором. По нематериальным активам, по которым определить срок полезного использования невозможно, применяется срок, равный 10 годам.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 2 статьи 258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7. Амортизацию по всем объектам амортизируемого имущества (основным средствам и нематериальным активам) начислять линейным методом.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пункты 1 и 3 статьи 259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8. Амортизационная премия не применяется. Амортизация начисляется в общем порядке.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 9 статьи 258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9. К основной норме амортизации основных средств, используемых для работы в условиях агрессивной среды и (или) повышенной сменности, может применяться специальный коэффициент в размере 2. К основной норме амортизации основных средств, являющихся предметом договора лизинга, может применяться специальный коэффициент в размере 3 (за исключением основных средств, относящихся к первой–третьей амортизационным группам). Конкретный перечень объектов основных средств, по которым применяется специальный коэффициент, определяется отдельным приказом.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подпункт 1 пункта 1 и подпункт 1 пункта 2 статьи 259.3, пункт 3 статьи 259.3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10. Резерв на ремонт основных средств не создается. Расходы на ремонт основных средств признаются для целей налогообложения в составе прочих расходов в том отчетном периоде, в котором они были осуществлены, в сумме фактических затрат.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статья 260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b/>
          <w:bCs/>
          <w:spacing w:val="3"/>
          <w:sz w:val="26"/>
          <w:szCs w:val="26"/>
        </w:rPr>
        <w:t>Учет сырья и материалов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11. Оценку при списании сырья и материалов, используемых в производстве, производить по методу средней стоимости.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 8 статьи 254 Налогового кодекса РФ.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12. Стоимость имущества, не являющегося амортизируемым имуществом, включается в состав материальных расходов в полной сумме по мере ввода его в эксплуатацию.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подпункт 3 пункта 1 статьи 254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b/>
          <w:bCs/>
          <w:spacing w:val="3"/>
          <w:sz w:val="26"/>
          <w:szCs w:val="26"/>
        </w:rPr>
        <w:t>Учет затрат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13. Резерв предстоящих расходов на оплату отпусков не создается.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статья 324.1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14. Резерв предстоящих расходов на выплату ежегодных вознаграждений за выслугу лет и по итогам работы за год не создается.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статья 324.1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15. Отчисления в резерв по сомнительным долгам производятся ежеквартально. Инвентаризация дебиторской задолженности в целях создания резерва проводится по состоянию на последний день отчетного квартала. Максимальный размер резерва по сомнительным долгам составляет 10% от выручки без учета НДС.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статья 266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16. Резерв по гарантийному ремонту и гарантийному обслуживанию создается в размере, определяемом как произведение выручки от реализации за отчетный период и доли фактических расходов по гарантийному ремонту и обслуживанию в объеме выручки от реализации товаров за предыдущие три года.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 3 статьи 267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17. Резерв предстоящих расходов на научные исследования и (или) опытно-конструкторские разработки не создается. Расходы на научные исследования и (или) опытно-конструкторские разработки учитываются для целей налогообложения в составе прочих расходов в том отчетном периоде, в котором они были осуществлены, в сумме фактических затрат.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статья 267.2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18. Все виды затрат на НИОКР включаются в состав прочих расходов без применения повышающего коэффициента.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статья 262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19. К прямым расходам на производство продукции относятся: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• все материальные расходы на приобретение сырья и материалов, используемых в производстве продукции, кроме общехозяйственных и общепроизводственных материальных затрат;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• расходы на оплату труда персонала цехов и подразделений основного производства;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• суммы страховых взносов во внебюджетные фонды, начисленные на заработную плату персонала, участвующего в процессе производства продукции;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• суммы начисленной амортизации по основным средствам, непосредственно используемым в производстве продукции.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 1 статьи 318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20. В случае, если прямые расходы, поименованные в пункте 20 настоящей Учетной политики, к изготовлению конкретного вида продукции отнести невозможно, то они подлежат распределению пропорционально прямым затратам, непосредственно относящимся к производству каждого вида продукции.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абзац 5 пункта 1 статьи 319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21. Прямые расходы распределяются между незавершенным производством и готовой продукцией пропорционально доле основного сырья, приходящегося на незавершенное производство, в общем количестве сырья, отпущенного в производство в течение месяца с учетом остатков на начало месяца (в натуральном выражении).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 1 статьи 319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22. Доходы и расходы, относящиеся к нескольким отчетным периодам, распределяются равномерно в течение срока действия договора, к которому они относятся. В случае если дату окончания работ (оказания услуг) по договору определить невозможно, период распределения доходов и расходов устанавливается приказом руководителя организации.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 1 статьи 272, пункт 2 статьи 271, статья 316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b/>
          <w:bCs/>
          <w:spacing w:val="3"/>
          <w:sz w:val="26"/>
          <w:szCs w:val="26"/>
        </w:rPr>
        <w:t>Порядок расчета авансовых платежей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23. Уплату ежемесячных авансовых платежей по налогу на прибыль производить исходя из одной трети фактически уплаченного квартального авансового платежа за квартал, предшествующий кварталу, в котором производится уплата ежемесячных авансовых платежей.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 2 статьи 286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24. Для определения сумм авансовых платежей и налога, подлежащих уплате по местонахождению обособленных подразделений, использовать показатели удельного веса остаточной стоимости амортизируемого имущества и среднесписочной численности работников.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 2 статьи 288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b/>
          <w:bCs/>
          <w:spacing w:val="3"/>
          <w:sz w:val="26"/>
          <w:szCs w:val="26"/>
        </w:rPr>
        <w:t>Налог на добавленную стоимость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25. Обособленные подразделения нумеруют счета-фактуры в пределах диапазона номеров, выделяемых головной организацией.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подпункт «а» пункта 1 приложения 1 к постановлению Правительства РФ от 26 декабря 2011 г. № 1137.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26. Учет освобожденных от НДС операций ведется на субсчетах бухгалтерского учета обособленно. Прямые затраты на осуществление данного вида деятельности учитываются на субсчете «Затраты на реализацию освобожденных от обложения НДС операций» к счету 20 «Основное производство». Косвенные затраты учитываются на субсчете «Затраты к распределению» к счету 25 «Общепроизводственные расходы» и на счете 26 «Общехозяйственные расходы». Совокупные расходы на реализацию освобожденных от обложения НДС операций в целях расчета 5-процентного барьера расходов на необлагаемую деятельность определяются как сумма прямых и соответствующей доли косвенных затрат.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подпункт 25 пункта 2 статьи 149, пункты 4, 4.1 статьи 170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27. Доля косвенных затрат, относящаяся к необлагаемым операциям, определяется пропорционально выручке от необлагаемой деятельности в общей сумме выручки от всех видов деятельности. Основание: пункты 4, 4.1 статьи 170 Налогового кодекса РФ, письмо ФНС России от 22 марта 2011 г. № КЕ-4-3/4475.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28. В целях ведения раздельного учета операций, облагаемых НДС, и операций, освобожденных от налогообложения, к счету 19 открываются субсчета: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• 19-1 «Операции, облагаемые НДС», на котором учитываются суммы налога, предъявленные поставщиками по товарам (работам, услугам), используемым в деятельности, облагаемой НДС. Суммы налога, учтенные на субсчете 19-1, принимаются к вычету в порядке, установленном статьей 172 Налогового кодекса РФ, без ограничений.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• 19-2 «Операции, освобожденные от налогообложения», на котором учитываются суммы налога, предъявленные поставщиками по товарам (работам, услугам), используемым в деятельности, не облагаемой НДС.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• 19-3 «Операции, облагаемые НДС и освобожденные от налогообложения», на котором учитываются суммы налога по товарам (работам, услугам), используемым в деятельности, облагаемой НДС и одновременно в освобожденной от налогообложения. Суммы налога, отраженные на субсчете 19-3, в течение квартала принимаются к вычету в порядке, установленном статьей 172 Налогового кодекса РФ.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пункты 4, 4.1 статьи 170, пункт 4 статьи 149, статья 172 Налогового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29. Корректировка суммы вычетов, примененных с субсчета 19-3 «Операции, облагаемые НДС и освобожденные от налогообложения», осуществляется пропорционально выручке от необлагаемой деятельности в общей выручке организации за квартал. Указанная корректировка производится по каждому счету-фактуре по состоянию на последний день налогового периода (квартала). Суммы налога, подлежащие по итогам квартала восстановлению на субсчете 19-3, в стоимость товаров (работ, услуг), в том числе основных средств, не включаются и учитываются в составе прочих расходов в соответствии со статьей 264 Налогового кодекса РФ.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подпункт 2 пункта 3, пункты 4, 4.1 статьи 170 Налогового кодекса РФ.</w:t>
      </w:r>
    </w:p>
    <w:p w:rsidR="00294A63" w:rsidRPr="00294A63" w:rsidRDefault="00294A63" w:rsidP="00294A63">
      <w:pPr>
        <w:shd w:val="clear" w:color="auto" w:fill="FFFFFF"/>
        <w:spacing w:before="0" w:after="300" w:line="405" w:lineRule="atLeast"/>
        <w:rPr>
          <w:rFonts w:eastAsia="Times New Roman" w:cs="Times New Roman"/>
          <w:spacing w:val="3"/>
          <w:sz w:val="26"/>
          <w:szCs w:val="26"/>
        </w:rPr>
      </w:pPr>
      <w:r w:rsidRPr="00294A63">
        <w:rPr>
          <w:rFonts w:eastAsia="Times New Roman" w:cs="Times New Roman"/>
          <w:spacing w:val="3"/>
          <w:sz w:val="26"/>
          <w:szCs w:val="26"/>
        </w:rPr>
        <w:t>30. Суммы налога по товарам (работам, услугам), частично используемым в осуществлении экспортных операций, облагаемых по ставке 0%, учитываются на субсчете 19-1 «Операции, облагаемые НДС» или 19-3 «Операции, облагаемые НДС и освобожденные от налогообложения» в зависимости от использования активов в освобожденной от НДС деятельности. Суммы НДС, отраженные на субсчетах 19-1 и 19-3 и относящиеся к экспортным операциям, списываются ежемесячно в разрезе счетов-фактур на субсчет 19-4 «НДС по затратам на экспорт» пропорционально доле экспортной выручки в общей выручке от реализации по всем облагаемым видам деятельности. Суммы, учтенные на субсчете 19-4 «НДС по затратам на экспорт», относящиеся к операциям, по которым подтверждено право на применение нулевой ставки, списываются по итогам квартала в дебет счета 68 и регистрируются в книге покупок.</w:t>
      </w:r>
      <w:r w:rsidRPr="00294A63">
        <w:rPr>
          <w:rFonts w:eastAsia="Times New Roman" w:cs="Times New Roman"/>
          <w:spacing w:val="3"/>
          <w:sz w:val="26"/>
          <w:szCs w:val="26"/>
        </w:rPr>
        <w:br/>
        <w:t>Основание: пункт 1 статьи 153 и пункт 10 статьи 165 Налогового кодекса РФ.</w:t>
      </w:r>
    </w:p>
    <w:p w:rsidR="00D542A5" w:rsidRPr="00294A63" w:rsidRDefault="00D542A5">
      <w:pPr>
        <w:rPr>
          <w:rFonts w:cs="Times New Roman"/>
          <w:sz w:val="26"/>
          <w:szCs w:val="26"/>
        </w:rPr>
      </w:pPr>
    </w:p>
    <w:sectPr w:rsidR="00D542A5" w:rsidRPr="0029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63"/>
    <w:rsid w:val="000052C6"/>
    <w:rsid w:val="00045425"/>
    <w:rsid w:val="0007450C"/>
    <w:rsid w:val="000A1513"/>
    <w:rsid w:val="000F45D7"/>
    <w:rsid w:val="001132FC"/>
    <w:rsid w:val="001B5C2D"/>
    <w:rsid w:val="00250336"/>
    <w:rsid w:val="00294A63"/>
    <w:rsid w:val="002C79A0"/>
    <w:rsid w:val="00380FC9"/>
    <w:rsid w:val="00402825"/>
    <w:rsid w:val="00423C1B"/>
    <w:rsid w:val="004429A2"/>
    <w:rsid w:val="00475E9F"/>
    <w:rsid w:val="00495F67"/>
    <w:rsid w:val="004B17D9"/>
    <w:rsid w:val="004E78EF"/>
    <w:rsid w:val="00544ED9"/>
    <w:rsid w:val="0057415B"/>
    <w:rsid w:val="00585696"/>
    <w:rsid w:val="005E513E"/>
    <w:rsid w:val="00667832"/>
    <w:rsid w:val="00684244"/>
    <w:rsid w:val="006A4314"/>
    <w:rsid w:val="006D2582"/>
    <w:rsid w:val="007055E1"/>
    <w:rsid w:val="00745058"/>
    <w:rsid w:val="00806715"/>
    <w:rsid w:val="008E40DA"/>
    <w:rsid w:val="0092589A"/>
    <w:rsid w:val="00952729"/>
    <w:rsid w:val="00970154"/>
    <w:rsid w:val="009A6425"/>
    <w:rsid w:val="00A04B8F"/>
    <w:rsid w:val="00A1196A"/>
    <w:rsid w:val="00A30BEB"/>
    <w:rsid w:val="00A30D68"/>
    <w:rsid w:val="00A33E81"/>
    <w:rsid w:val="00A53832"/>
    <w:rsid w:val="00A60FAD"/>
    <w:rsid w:val="00A92DDB"/>
    <w:rsid w:val="00B25868"/>
    <w:rsid w:val="00B7071F"/>
    <w:rsid w:val="00BA7A1D"/>
    <w:rsid w:val="00C11DD2"/>
    <w:rsid w:val="00C15E7C"/>
    <w:rsid w:val="00CB16E9"/>
    <w:rsid w:val="00CC6545"/>
    <w:rsid w:val="00CE0D6F"/>
    <w:rsid w:val="00D01E1F"/>
    <w:rsid w:val="00D070BE"/>
    <w:rsid w:val="00D320FC"/>
    <w:rsid w:val="00D542A5"/>
    <w:rsid w:val="00DA0C61"/>
    <w:rsid w:val="00E9049C"/>
    <w:rsid w:val="00EC67A4"/>
    <w:rsid w:val="00F44C16"/>
    <w:rsid w:val="00F56FDE"/>
    <w:rsid w:val="00FA18F7"/>
    <w:rsid w:val="00FE1C39"/>
    <w:rsid w:val="00FE502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300F"/>
  <w15:chartTrackingRefBased/>
  <w15:docId w15:val="{9DC6CF2B-CB7B-4F8C-B096-BD819800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2582"/>
    <w:pPr>
      <w:spacing w:before="120" w:after="120" w:line="36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2016-11-12T08:07:00Z</dcterms:created>
  <dcterms:modified xsi:type="dcterms:W3CDTF">2016-11-12T08:08:00Z</dcterms:modified>
</cp:coreProperties>
</file>