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Комментарий к статье 115 УК РФ: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В законе четко названы признаки причинения легкого вреда здоровью: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1) кратковременное расстройство здоровья;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2) незначительная стойкая утрата общей трудоспособности. Первый признак означает временную утрату трудоспособности продолжительностью не свыше трех недель, второй - стойкую утрату общей трудоспособности, но не более 10%.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Данная статья в ходе реформы уголовного законодательства в 2003 г. была дополнена ч. 2, в которой закреплен квалифицирующий признак - совершение деяния из хулиганских побуждений. Предложения о таком дополнении данной статьи в теории уголовного права имели место неоднократно. Полагаем, что законодатель пошел по верному пути, частично изменив редакцию ст. 213 и закрепив данный признак в преступлениях против личности.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настоящее время редакция ч. 2 комментируемой статьи изменена в соответствии с Федеральным законом от 24 июля 2007 г. N 211-ФЗ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экстремизму". Она дополнена квалифицирующим признаком, усиливающим ответственность за это преступление (причинение легкого вреда здоровью по мотивам политической, идеологической, расовой, национальной или религиозной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ненависти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или вражды либо по мотивам ненависти или вражды в отношении какой-либо социальной группы). О содержании данного признака см. комментарий к ст. 63 УК. </w:t>
      </w:r>
    </w:p>
    <w:p w:rsidR="00AC6B7D" w:rsidRDefault="00AC6B7D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Это преступление может быть совершено и с прямым, и с косвенным умыслом. </w:t>
      </w:r>
    </w:p>
    <w:p w:rsidR="007E0C0E" w:rsidRDefault="00AC6B7D">
      <w:r>
        <w:rPr>
          <w:rFonts w:ascii="Tahoma" w:hAnsi="Tahoma" w:cs="Tahoma"/>
          <w:color w:val="000000"/>
          <w:sz w:val="21"/>
          <w:szCs w:val="21"/>
        </w:rPr>
        <w:t>4. Субъектом преступления может быть физическое, вменяемое лицо, достигшее возраста 16 лет.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7E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D"/>
    <w:rsid w:val="004B2FC4"/>
    <w:rsid w:val="009677B6"/>
    <w:rsid w:val="00AC6B7D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B39D-EF72-414B-BD5F-E5932A0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B7D"/>
  </w:style>
  <w:style w:type="character" w:styleId="a3">
    <w:name w:val="Hyperlink"/>
    <w:basedOn w:val="a0"/>
    <w:uiPriority w:val="99"/>
    <w:semiHidden/>
    <w:unhideWhenUsed/>
    <w:rsid w:val="00AC6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2016-07-04T13:02:00Z</dcterms:created>
  <dcterms:modified xsi:type="dcterms:W3CDTF">2016-07-04T13:02:00Z</dcterms:modified>
</cp:coreProperties>
</file>